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E6708" w14:textId="490915B9" w:rsidR="00080C97" w:rsidRDefault="009458DA">
      <w:pPr>
        <w:pStyle w:val="NoSpacing"/>
      </w:pPr>
      <w:r>
        <w:t>Student’s Name</w:t>
      </w:r>
    </w:p>
    <w:p w14:paraId="3FA352F5" w14:textId="3EE02842" w:rsidR="00080C97" w:rsidRDefault="009458DA">
      <w:pPr>
        <w:pStyle w:val="NoSpacing"/>
      </w:pPr>
      <w:r>
        <w:t>Professor’s Name</w:t>
      </w:r>
    </w:p>
    <w:p w14:paraId="77B24B8E" w14:textId="2E59E189" w:rsidR="00080C97" w:rsidRDefault="009458DA">
      <w:pPr>
        <w:pStyle w:val="NoSpacing"/>
      </w:pPr>
      <w:r>
        <w:t>Course Number</w:t>
      </w:r>
    </w:p>
    <w:p w14:paraId="0E097C87" w14:textId="37094EF1" w:rsidR="007D4B2F" w:rsidRDefault="009458DA">
      <w:pPr>
        <w:pStyle w:val="NoSpacing"/>
      </w:pPr>
      <w:r>
        <w:t>Date</w:t>
      </w:r>
    </w:p>
    <w:p w14:paraId="1CFAF6ED" w14:textId="12C601A3" w:rsidR="00080C97" w:rsidRDefault="00297E61">
      <w:pPr>
        <w:pStyle w:val="Title"/>
      </w:pPr>
      <w:r>
        <w:t>Jim Crow Laws</w:t>
      </w:r>
      <w:r w:rsidR="00EC2FE4">
        <w:t xml:space="preserve">: </w:t>
      </w:r>
      <w:r>
        <w:t>racial segregation</w:t>
      </w:r>
    </w:p>
    <w:p w14:paraId="3625C44C" w14:textId="71C1519D" w:rsidR="00080C97" w:rsidRDefault="009458DA">
      <w:r w:rsidRPr="00E92F01">
        <w:t>When the word slavery is mentioned, images of death, oppression, and inhumanity come to mind. There isn't anything, if anything, that could be worse than slavery, right? David Oshinsky, on the other hand, disproved this theory. Worse than Slavery is a novel by Oshinsky that describes events and locations that one would consider worse than slavery. As a history professor, Oshinsky has provided insight into the challenges African-Americans faced since slavery was abolished. He then talks about the Parchman Estate, shedding light on how not only blacks but also whites suffered in penitentiaries like this one.</w:t>
      </w:r>
    </w:p>
    <w:p w14:paraId="54E6264B" w14:textId="1C57F473" w:rsidR="0044569C" w:rsidRDefault="009458DA" w:rsidP="0044569C">
      <w:r w:rsidRPr="006E0F0D">
        <w:t>Democratic legislatures set out in 1875 to address what they saw as two major issues: a labor shortage and the need to restore white supremacy. The "Pig Law," which made stealing a farm animal worth more than ten dollars a crime punishable by up to five years in jail, was enforced. The "Leasing Act," which permitted convicts to be leased out if their terms were less than ten years, went hand in hand with laws like these, which were almost always directed at the thousands of poor freedmen. Since whites were almost invariably accused and convicted of the most serious offenses, their sentences secured them a spot in Jackson's state penitentiary.</w:t>
      </w:r>
    </w:p>
    <w:p w14:paraId="0E9A2162" w14:textId="227A20D9" w:rsidR="006E0F0D" w:rsidRDefault="009458DA">
      <w:r w:rsidRPr="006E0F0D">
        <w:t xml:space="preserve">The draconian laws targeted disproportionately at black people, culminated in their mass incarceration. Owing to a shortage of accommodation, prisons began leasing convicts, which was lucrative for plantation owners but horrifying and deadly for the majority of black workers. The black convicts were literally worked to death. Convicts served from dusk to dawn in sweltering temperatures, with heat stroke being a common cause of death. Convicts were forced to work in </w:t>
      </w:r>
      <w:r w:rsidRPr="006E0F0D">
        <w:lastRenderedPageBreak/>
        <w:t>more dangerous places as convict leasing became more common, such as coal mines and railroad construction. Explosions and injuries were common, and a large number of convicts were killed as a result.</w:t>
      </w:r>
    </w:p>
    <w:p w14:paraId="424AE6B2" w14:textId="5D0464E4" w:rsidR="006E0F0D" w:rsidRDefault="009458DA">
      <w:r w:rsidRPr="006E0F0D">
        <w:t>The harsh treatment of the convicts was, however, the main concern of convict leasing. Being active in convict leasing was akin to being sentenced to death</w:t>
      </w:r>
      <w:r w:rsidR="003610AA">
        <w:t xml:space="preserve"> (Oshinsky, 1996)</w:t>
      </w:r>
      <w:r w:rsidRPr="006E0F0D">
        <w:t>. “Convict leasing was about money, violence, and racist ideas,” Oshinsky says. Convicts were often seen sleeping and eating on the floors, with no bedding or even clothing. Since the laborers were paying to house the inmates, they were allowed to retain the income from any money not spent on them. Convicts were sometimes whipped, flogged, and shot for being disobedient in any way</w:t>
      </w:r>
      <w:r w:rsidR="003610AA">
        <w:t>(Oshinsky, 1996)</w:t>
      </w:r>
      <w:r w:rsidRPr="006E0F0D">
        <w:t>.</w:t>
      </w:r>
      <w:r>
        <w:t xml:space="preserve"> </w:t>
      </w:r>
      <w:r w:rsidRPr="006E0F0D">
        <w:t>According to Oshinsky, the Parchman farm was similar to an antebellum plantation but with convicts instead of slaves.</w:t>
      </w:r>
    </w:p>
    <w:p w14:paraId="22C574BC" w14:textId="2469365B" w:rsidR="0044569C" w:rsidRDefault="009458DA">
      <w:r w:rsidRPr="0044569C">
        <w:t>As it evolved in Mississippi, convict leasing successfully replaced ethnic slavery with a system of racial castes while also fueling late-nineteenth-century economic growth. The use of convicts for anything from cotton farming to railroad construction to turpentine extraction spread quickly. It addressed high fixed labor costs by requiring only the most basic expenditures for food, clothes, and shelter. Furthermore, since there was always a ready supply of substitute labor, there were no incentives to handle convict workers poorly. The system served citizens of all ages.</w:t>
      </w:r>
      <w:r>
        <w:t xml:space="preserve"> </w:t>
      </w:r>
      <w:r w:rsidRPr="0044569C">
        <w:t>Since the state penal code made no distinction between juvenile and adult prisoners, by 1880, one out of every four convicts was a minor.</w:t>
      </w:r>
    </w:p>
    <w:p w14:paraId="7356F8A7" w14:textId="4C87E36F" w:rsidR="00390042" w:rsidRDefault="009458DA">
      <w:r w:rsidRPr="005D6BA4">
        <w:t xml:space="preserve">Vardaman, who was born in 1861 in Jackson County, Texas, served in the Texas House of Representatives, eventually becoming Speaker in 1894. After the United States declared war on Spain in 1898, Vardaman enlisted in the army and rose to colonel's rank. From August 1898 to August 1899, he was stationed in Santiago, Cuba. Vardaman sought the Democratic Party's gubernatorial nomination in 1895 and 1899 but was denied both times. Vardaman became a </w:t>
      </w:r>
      <w:r w:rsidRPr="005D6BA4">
        <w:lastRenderedPageBreak/>
        <w:t>sponsor of the common primary law as a result. Vardaman was the first governor of Mississippi to be inaugurated in the New Capitol, having won its first primary election in January 1904.</w:t>
      </w:r>
    </w:p>
    <w:p w14:paraId="5617C43F" w14:textId="19919856" w:rsidR="005D6BA4" w:rsidRDefault="009458DA">
      <w:r w:rsidRPr="005D6BA4">
        <w:t>Vardaman called for government control of large businesses as governor. He led the battle against the convict lease scheme, in which state prisoners were leased as laborers to planters and railroad companies, as well as the attempt to create Parchman as the state's central prison</w:t>
      </w:r>
      <w:r w:rsidR="001F0CAB">
        <w:t xml:space="preserve"> </w:t>
      </w:r>
      <w:r w:rsidR="001F0CAB">
        <w:rPr>
          <w:rFonts w:ascii="Arial" w:hAnsi="Arial" w:cs="Arial"/>
          <w:color w:val="000000"/>
          <w:sz w:val="20"/>
          <w:szCs w:val="20"/>
          <w:shd w:val="clear" w:color="auto" w:fill="FFFFFF"/>
        </w:rPr>
        <w:t>("A Governor Bitterly Opposes Negro Education - Teaching American History")</w:t>
      </w:r>
      <w:r w:rsidRPr="005D6BA4">
        <w:t>. He was also a strong advocate of a child labor rule. Governor Vardaman, on the other hand, is best known for his radical views on race.</w:t>
      </w:r>
      <w:r>
        <w:t xml:space="preserve"> </w:t>
      </w:r>
      <w:r w:rsidRPr="005D6BA4">
        <w:t xml:space="preserve">He believed that African Americans should remain in economic servitude and that education was unnecessary for the type of work they would do, so he opposed public education beyond the most basic moral instruction and vocational training. </w:t>
      </w:r>
    </w:p>
    <w:p w14:paraId="142CEDB2" w14:textId="68D09893" w:rsidR="005D6BA4" w:rsidRDefault="009458DA">
      <w:r w:rsidRPr="005D6BA4">
        <w:t>He advocated for the closure of black public schools, vetoed state support for Mississippi Normal Institute, a teacher training program for African Americans, and pushed for abolishing the Fourteenth and Fifteenth Amendments, which granted African Americans the right to vote and hold public office.</w:t>
      </w:r>
      <w:r>
        <w:t xml:space="preserve"> </w:t>
      </w:r>
      <w:r w:rsidRPr="005D6BA4">
        <w:t>Vardaman also backed attempts to segregate Mississippi's streetcars, and he spoke out in favor of lynching on many occasions. He made fun of Pres on many occasions. The Republican Party and Theodore Roosevelt for nominating African Americans to federal government positions.</w:t>
      </w:r>
    </w:p>
    <w:p w14:paraId="257A2AA0" w14:textId="66812737" w:rsidR="005D6BA4" w:rsidRDefault="009458DA">
      <w:r w:rsidRPr="00EB51FF">
        <w:t>Segregation is the physical division of people based on race or social tradition, and it was used in Texas to distinguish African Americans and Mexican Americans from Whites. Segregation occurred in schools, churches, suburban areas, and other public places such as restaurants, theaters, and barber shops for both minority groups. Institutionalized segregation flourished legally in areas with a visible Black minority by the late nineteenth century. There was a Negro quarter and a Mexican quarter in almost every Texas town and city.</w:t>
      </w:r>
    </w:p>
    <w:p w14:paraId="751640D0" w14:textId="0EBA2B7F" w:rsidR="006E0F0D" w:rsidRDefault="009458DA">
      <w:r w:rsidRPr="00C41C2F">
        <w:lastRenderedPageBreak/>
        <w:t>Even though the legislation required Black schools to have equal access to the common school fund until 1890, they frequently did not</w:t>
      </w:r>
      <w:r w:rsidR="004D5E90">
        <w:t xml:space="preserve"> (Miller Hagstrom, 2010)</w:t>
      </w:r>
      <w:r w:rsidRPr="00C41C2F">
        <w:t>. Black and Mexican students in early twentieth-century schools faced deplorable conditions endemic to an antiquated educational system, and educational changes during the Progressive period did not help matters. Black teachers were paid less and received less instruction than their White counterparts, and classrooms were typically one-room structures supervised by a single teacher. Inadequate funding, insufficient educational facilities, and discriminatory curriculum plagued whatever schools did exist.</w:t>
      </w:r>
    </w:p>
    <w:p w14:paraId="725E7416" w14:textId="627C6B89" w:rsidR="00C41C2F" w:rsidRDefault="009458DA">
      <w:r w:rsidRPr="00C41C2F">
        <w:t>The legislature passed legislation requiring railroad companies to have separate waiting rooms in railroad stations in 1910 and 1911. By 1930, Black people couldn't go to sporting or cultural activities, eat at fine restaurants, or stay in fine hotels unless they were equipped with separate accommodations. Even though none of these laws were written with Mexicans in mind, they were usually excluded by White society</w:t>
      </w:r>
      <w:r w:rsidR="001F0CAB">
        <w:t xml:space="preserve"> (</w:t>
      </w:r>
      <w:r w:rsidR="001F0CAB">
        <w:rPr>
          <w:rFonts w:ascii="Arial" w:hAnsi="Arial" w:cs="Arial"/>
          <w:color w:val="222222"/>
          <w:sz w:val="20"/>
          <w:szCs w:val="20"/>
          <w:shd w:val="clear" w:color="auto" w:fill="FFFFFF"/>
        </w:rPr>
        <w:t>Yi, Hoonchong, et al., 2019)</w:t>
      </w:r>
      <w:r w:rsidRPr="00C41C2F">
        <w:t>. In barbershops, bars, funeral homes, churches, juries, theaters, and various other public locations, Mexican Americans were often unable to mix with Whites.</w:t>
      </w:r>
    </w:p>
    <w:p w14:paraId="3EEA5CCE" w14:textId="3DE8F77D" w:rsidR="00C41C2F" w:rsidRDefault="009458DA">
      <w:r w:rsidRPr="00C41C2F">
        <w:t>Minorities faced segregation in the workplace as well. For example, many craft unions refused to accept Black and Tejano workers, and unions formed by African or Mexican Americans were usually segregated. In general, Blacks and Mexicans were paid less than Whites for doing the same work. Due to segregationist policies, Blacks were forced to work as gardeners, chefs, bootblacks, and maids. In urban areas, Mexicans resorted to fieldwork or other unskilled labor, such as building and railroad maintenance.</w:t>
      </w:r>
    </w:p>
    <w:p w14:paraId="2D6B4F6D" w14:textId="0C7D0955" w:rsidR="005627B8" w:rsidRDefault="009458DA">
      <w:r>
        <w:t>More Jim Crow laws were passed in Texas, touching on issues such as health care, public carriers, railroad, education, miscegenation, and voting rights</w:t>
      </w:r>
      <w:r w:rsidR="001F0CAB">
        <w:t xml:space="preserve"> </w:t>
      </w:r>
      <w:r w:rsidR="001F0CAB">
        <w:rPr>
          <w:rFonts w:ascii="Arial" w:hAnsi="Arial" w:cs="Arial"/>
          <w:color w:val="000000"/>
          <w:sz w:val="20"/>
          <w:szCs w:val="20"/>
          <w:shd w:val="clear" w:color="auto" w:fill="FFFFFF"/>
        </w:rPr>
        <w:t>("List Of Jim Crow Law Examples By State")</w:t>
      </w:r>
      <w:r>
        <w:t xml:space="preserve">. Required electors were to pay taxes, tuberculosis sanitariums for blacks were to be </w:t>
      </w:r>
      <w:r>
        <w:lastRenderedPageBreak/>
        <w:t xml:space="preserve">established, penalty for intermarriage was imprisonment for two to five years, all taxes paid by black people were to fund the maintenance of black schools, </w:t>
      </w:r>
      <w:r w:rsidRPr="006100FD">
        <w:t>Railroad companies were forced to provide separate, equal-in-comfort coaches for white and colored passengers. Passengers who refused to sit where they were assigned were charged with a misdemeanor and fined between $5 and $20</w:t>
      </w:r>
      <w:r w:rsidR="003610AA" w:rsidRPr="003610AA">
        <w:t xml:space="preserve">; porters from African-American communities </w:t>
      </w:r>
      <w:r w:rsidR="003610AA">
        <w:t>were</w:t>
      </w:r>
      <w:r w:rsidR="003610AA" w:rsidRPr="003610AA">
        <w:t xml:space="preserve"> not permitted to sleep in sleeping car berths or use bedding intended for white passengers</w:t>
      </w:r>
      <w:r w:rsidR="003610AA">
        <w:t xml:space="preserve">, </w:t>
      </w:r>
      <w:r w:rsidR="003610AA" w:rsidRPr="003610AA">
        <w:t>separate washrooms were required in coal mines, and state parks were to separate facilities required for white and black visitors.</w:t>
      </w:r>
    </w:p>
    <w:p w14:paraId="7E141ABB" w14:textId="1385305B" w:rsidR="00C41C2F" w:rsidRDefault="009458DA">
      <w:r w:rsidRPr="00C41C2F">
        <w:t>Following the US Supreme Court decision in Sweatt v. Painter (1950), which forced the University of Texas law school to accept Black students, many Texas undergraduate colleges followed suit. They integrated their own campuses</w:t>
      </w:r>
      <w:r w:rsidR="001F0CAB">
        <w:t xml:space="preserve"> (</w:t>
      </w:r>
      <w:r w:rsidR="001F0CAB">
        <w:rPr>
          <w:rFonts w:ascii="Arial" w:hAnsi="Arial" w:cs="Arial"/>
          <w:color w:val="222222"/>
          <w:sz w:val="20"/>
          <w:szCs w:val="20"/>
          <w:shd w:val="clear" w:color="auto" w:fill="FFFFFF"/>
        </w:rPr>
        <w:t>Yi, Hoonchong, et al., 2019).</w:t>
      </w:r>
      <w:r w:rsidRPr="00C41C2F">
        <w:t xml:space="preserve"> The Supreme Court's decision in Brown v. Board of Education (1954) ruled the "separate but equal" doctrine unconstitutional in colleges, public transportation, dining establishments, and other locations. Mexican Americans triumphed in their own long war, with a series of favorable verdicts from Texas courts undermining racial segregation.</w:t>
      </w:r>
    </w:p>
    <w:p w14:paraId="77B6C1C7" w14:textId="3934E95A" w:rsidR="005627B8" w:rsidRDefault="009458DA" w:rsidP="005627B8">
      <w:r w:rsidRPr="00C41C2F">
        <w:t>Many white Texans were resistant to federal mandates and some of their consequences. For example, in 1956, voters approved referendums opposing compulsory attendance in integrated schools and prohibiting intermarriage. While Governor Price Daniel, Sr. ignored such laws in the late 1950s, the 1957 legislature passed laws allowing school districts to avoid federally mandated integration. Legal apartheid, on the other hand, was abolished in the 1960s.</w:t>
      </w:r>
      <w:r>
        <w:t xml:space="preserve"> </w:t>
      </w:r>
      <w:r w:rsidRPr="005627B8">
        <w:t>Jim Crow was overthrown by a combination of court rulings, federal hearings such as those undertaken by the United States Commission on Civil Rights in the late 1960s, the civil rights movement of the same period, activism by African Americans and Mexican Americans, and a more accepting White society.</w:t>
      </w:r>
      <w:r>
        <w:t xml:space="preserve"> </w:t>
      </w:r>
    </w:p>
    <w:sdt>
      <w:sdtPr>
        <w:rPr>
          <w:rFonts w:ascii="Arial" w:hAnsi="Arial" w:cs="Arial"/>
          <w:sz w:val="20"/>
          <w:szCs w:val="20"/>
        </w:rPr>
        <w:id w:val="-1426488804"/>
        <w:docPartObj>
          <w:docPartGallery w:val="Bibliographies"/>
          <w:docPartUnique/>
        </w:docPartObj>
      </w:sdtPr>
      <w:sdtEndPr>
        <w:rPr>
          <w:b/>
          <w:bCs/>
        </w:rPr>
      </w:sdtEndPr>
      <w:sdtContent>
        <w:p w14:paraId="61E86DC6" w14:textId="77777777" w:rsidR="00080C97" w:rsidRPr="009C1249" w:rsidRDefault="009458DA" w:rsidP="009C1249">
          <w:pPr>
            <w:ind w:left="720" w:hanging="720"/>
            <w:rPr>
              <w:rFonts w:ascii="Arial" w:hAnsi="Arial" w:cs="Arial"/>
              <w:sz w:val="20"/>
              <w:szCs w:val="20"/>
            </w:rPr>
          </w:pPr>
          <w:r w:rsidRPr="009C1249">
            <w:rPr>
              <w:rFonts w:ascii="Arial" w:hAnsi="Arial" w:cs="Arial"/>
              <w:sz w:val="20"/>
              <w:szCs w:val="20"/>
            </w:rPr>
            <w:t>Works Cited</w:t>
          </w:r>
        </w:p>
        <w:p w14:paraId="0DE68C62" w14:textId="77777777" w:rsidR="003610AA" w:rsidRPr="009C1249" w:rsidRDefault="009458DA" w:rsidP="009C1249">
          <w:pPr>
            <w:ind w:left="720" w:hanging="720"/>
            <w:rPr>
              <w:rFonts w:ascii="Arial" w:hAnsi="Arial" w:cs="Arial"/>
              <w:color w:val="222222"/>
              <w:sz w:val="20"/>
              <w:szCs w:val="20"/>
              <w:shd w:val="clear" w:color="auto" w:fill="FFFFFF"/>
            </w:rPr>
          </w:pPr>
          <w:r w:rsidRPr="009C1249">
            <w:rPr>
              <w:rFonts w:ascii="Arial" w:hAnsi="Arial" w:cs="Arial"/>
              <w:color w:val="222222"/>
              <w:sz w:val="20"/>
              <w:szCs w:val="20"/>
              <w:shd w:val="clear" w:color="auto" w:fill="FFFFFF"/>
            </w:rPr>
            <w:lastRenderedPageBreak/>
            <w:t>Oshinsky, David. "M. 1996. Worse Than Slavery: Parchman Farm and the Ordeal of Jim Crow Justice." (1944).</w:t>
          </w:r>
        </w:p>
        <w:p w14:paraId="60877ECE" w14:textId="77777777" w:rsidR="004D5E90" w:rsidRPr="009C1249" w:rsidRDefault="00CD0E61" w:rsidP="009C1249">
          <w:pPr>
            <w:ind w:left="720" w:hanging="720"/>
            <w:rPr>
              <w:rFonts w:ascii="Arial" w:hAnsi="Arial" w:cs="Arial"/>
              <w:b/>
              <w:bCs/>
              <w:sz w:val="20"/>
              <w:szCs w:val="20"/>
            </w:rPr>
          </w:pPr>
        </w:p>
      </w:sdtContent>
    </w:sdt>
    <w:p w14:paraId="39CBF984" w14:textId="71448D56" w:rsidR="003610AA" w:rsidRPr="009C1249" w:rsidRDefault="009458DA" w:rsidP="009C1249">
      <w:pPr>
        <w:ind w:left="720" w:hanging="720"/>
        <w:rPr>
          <w:rFonts w:ascii="Arial" w:hAnsi="Arial" w:cs="Arial"/>
          <w:color w:val="000000"/>
          <w:sz w:val="20"/>
          <w:szCs w:val="20"/>
          <w:shd w:val="clear" w:color="auto" w:fill="FFFFFF"/>
        </w:rPr>
      </w:pPr>
      <w:r w:rsidRPr="009C1249">
        <w:rPr>
          <w:rFonts w:ascii="Arial" w:hAnsi="Arial" w:cs="Arial"/>
          <w:color w:val="000000"/>
          <w:sz w:val="20"/>
          <w:szCs w:val="20"/>
          <w:shd w:val="clear" w:color="auto" w:fill="FFFFFF"/>
        </w:rPr>
        <w:t>"A Governor Bitterly Opposes Negro Education - Teaching American History". </w:t>
      </w:r>
      <w:r w:rsidRPr="009C1249">
        <w:rPr>
          <w:rFonts w:ascii="Arial" w:hAnsi="Arial" w:cs="Arial"/>
          <w:i/>
          <w:iCs/>
          <w:color w:val="000000"/>
          <w:sz w:val="20"/>
          <w:szCs w:val="20"/>
          <w:shd w:val="clear" w:color="auto" w:fill="FFFFFF"/>
        </w:rPr>
        <w:t>Teaching American History</w:t>
      </w:r>
      <w:r w:rsidRPr="009C1249">
        <w:rPr>
          <w:rFonts w:ascii="Arial" w:hAnsi="Arial" w:cs="Arial"/>
          <w:color w:val="000000"/>
          <w:sz w:val="20"/>
          <w:szCs w:val="20"/>
          <w:shd w:val="clear" w:color="auto" w:fill="FFFFFF"/>
        </w:rPr>
        <w:t xml:space="preserve">, 2021, </w:t>
      </w:r>
      <w:hyperlink r:id="rId9" w:history="1">
        <w:r w:rsidR="001F0CAB" w:rsidRPr="009C1249">
          <w:rPr>
            <w:rStyle w:val="Hyperlink"/>
            <w:rFonts w:ascii="Arial" w:hAnsi="Arial" w:cs="Arial"/>
            <w:sz w:val="20"/>
            <w:szCs w:val="20"/>
            <w:shd w:val="clear" w:color="auto" w:fill="FFFFFF"/>
          </w:rPr>
          <w:t>https://teachingamericanhistory.org/library/document/a-governor-bitterly-opposes-negro-education/</w:t>
        </w:r>
      </w:hyperlink>
      <w:r w:rsidRPr="009C1249">
        <w:rPr>
          <w:rFonts w:ascii="Arial" w:hAnsi="Arial" w:cs="Arial"/>
          <w:color w:val="000000"/>
          <w:sz w:val="20"/>
          <w:szCs w:val="20"/>
          <w:shd w:val="clear" w:color="auto" w:fill="FFFFFF"/>
        </w:rPr>
        <w:t>.</w:t>
      </w:r>
    </w:p>
    <w:p w14:paraId="3FCFB921" w14:textId="4A491D9A" w:rsidR="001F0CAB" w:rsidRPr="009C1249" w:rsidRDefault="009458DA" w:rsidP="009C1249">
      <w:pPr>
        <w:ind w:left="720" w:hanging="720"/>
        <w:rPr>
          <w:rFonts w:ascii="Arial" w:hAnsi="Arial" w:cs="Arial"/>
          <w:b/>
          <w:bCs/>
          <w:sz w:val="20"/>
          <w:szCs w:val="20"/>
        </w:rPr>
      </w:pPr>
      <w:r w:rsidRPr="009C1249">
        <w:rPr>
          <w:rFonts w:ascii="Arial" w:hAnsi="Arial" w:cs="Arial"/>
          <w:color w:val="000000"/>
          <w:sz w:val="20"/>
          <w:szCs w:val="20"/>
          <w:shd w:val="clear" w:color="auto" w:fill="FFFFFF"/>
        </w:rPr>
        <w:t>"List Of Jim Crow Law Examples By State". </w:t>
      </w:r>
      <w:r w:rsidRPr="009C1249">
        <w:rPr>
          <w:rFonts w:ascii="Arial" w:hAnsi="Arial" w:cs="Arial"/>
          <w:i/>
          <w:iCs/>
          <w:color w:val="000000"/>
          <w:sz w:val="20"/>
          <w:szCs w:val="20"/>
          <w:shd w:val="clear" w:color="auto" w:fill="FFFFFF"/>
        </w:rPr>
        <w:t>En.Wikipedia.Org</w:t>
      </w:r>
      <w:r w:rsidRPr="009C1249">
        <w:rPr>
          <w:rFonts w:ascii="Arial" w:hAnsi="Arial" w:cs="Arial"/>
          <w:color w:val="000000"/>
          <w:sz w:val="20"/>
          <w:szCs w:val="20"/>
          <w:shd w:val="clear" w:color="auto" w:fill="FFFFFF"/>
        </w:rPr>
        <w:t>, 2021, https://en.wikipedia.org/wiki/List_of_Jim_Crow_law_examples_by_state.</w:t>
      </w:r>
    </w:p>
    <w:p w14:paraId="1C86F0EA" w14:textId="33DBC77D" w:rsidR="00080C97" w:rsidRPr="009C1249" w:rsidRDefault="009458DA" w:rsidP="009C1249">
      <w:pPr>
        <w:ind w:left="720" w:hanging="720"/>
        <w:rPr>
          <w:rFonts w:ascii="Arial" w:hAnsi="Arial" w:cs="Arial"/>
          <w:color w:val="222222"/>
          <w:sz w:val="20"/>
          <w:szCs w:val="20"/>
          <w:shd w:val="clear" w:color="auto" w:fill="FFFFFF"/>
        </w:rPr>
      </w:pPr>
      <w:r w:rsidRPr="009C1249">
        <w:rPr>
          <w:rFonts w:ascii="Arial" w:hAnsi="Arial" w:cs="Arial"/>
          <w:color w:val="222222"/>
          <w:sz w:val="20"/>
          <w:szCs w:val="20"/>
          <w:shd w:val="clear" w:color="auto" w:fill="FFFFFF"/>
        </w:rPr>
        <w:t>Miller, Karl Hagstrom. </w:t>
      </w:r>
      <w:r w:rsidRPr="009C1249">
        <w:rPr>
          <w:rFonts w:ascii="Arial" w:hAnsi="Arial" w:cs="Arial"/>
          <w:i/>
          <w:iCs/>
          <w:color w:val="222222"/>
          <w:sz w:val="20"/>
          <w:szCs w:val="20"/>
          <w:shd w:val="clear" w:color="auto" w:fill="FFFFFF"/>
        </w:rPr>
        <w:t>Segregating sound: Inventing folk and pop music in the age of Jim Crow</w:t>
      </w:r>
      <w:r w:rsidRPr="009C1249">
        <w:rPr>
          <w:rFonts w:ascii="Arial" w:hAnsi="Arial" w:cs="Arial"/>
          <w:color w:val="222222"/>
          <w:sz w:val="20"/>
          <w:szCs w:val="20"/>
          <w:shd w:val="clear" w:color="auto" w:fill="FFFFFF"/>
        </w:rPr>
        <w:t>. Duke University Press, 2010.</w:t>
      </w:r>
    </w:p>
    <w:p w14:paraId="1180D670" w14:textId="4E50B080" w:rsidR="001F0CAB" w:rsidRPr="009C1249" w:rsidRDefault="009458DA" w:rsidP="009C1249">
      <w:pPr>
        <w:ind w:left="720" w:hanging="720"/>
        <w:rPr>
          <w:rFonts w:ascii="Arial" w:hAnsi="Arial" w:cs="Arial"/>
          <w:sz w:val="20"/>
          <w:szCs w:val="20"/>
        </w:rPr>
      </w:pPr>
      <w:r w:rsidRPr="009C1249">
        <w:rPr>
          <w:rFonts w:ascii="Arial" w:hAnsi="Arial" w:cs="Arial"/>
          <w:color w:val="222222"/>
          <w:sz w:val="20"/>
          <w:szCs w:val="20"/>
          <w:shd w:val="clear" w:color="auto" w:fill="FFFFFF"/>
        </w:rPr>
        <w:t>Yi, Hoonchong, et al. "Social segregation of ecosystem services delivery in the San Antonio region, Texas, through 2050." </w:t>
      </w:r>
      <w:r w:rsidRPr="009C1249">
        <w:rPr>
          <w:rFonts w:ascii="Arial" w:hAnsi="Arial" w:cs="Arial"/>
          <w:i/>
          <w:iCs/>
          <w:color w:val="222222"/>
          <w:sz w:val="20"/>
          <w:szCs w:val="20"/>
          <w:shd w:val="clear" w:color="auto" w:fill="FFFFFF"/>
        </w:rPr>
        <w:t>Science of the total environment</w:t>
      </w:r>
      <w:r w:rsidRPr="009C1249">
        <w:rPr>
          <w:rFonts w:ascii="Arial" w:hAnsi="Arial" w:cs="Arial"/>
          <w:color w:val="222222"/>
          <w:sz w:val="20"/>
          <w:szCs w:val="20"/>
          <w:shd w:val="clear" w:color="auto" w:fill="FFFFFF"/>
        </w:rPr>
        <w:t> 667 (2019): 234-247.</w:t>
      </w:r>
    </w:p>
    <w:sectPr w:rsidR="001F0CAB" w:rsidRPr="009C124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D6698" w14:textId="77777777" w:rsidR="009458DA" w:rsidRDefault="009458DA">
      <w:pPr>
        <w:spacing w:line="240" w:lineRule="auto"/>
      </w:pPr>
      <w:r>
        <w:separator/>
      </w:r>
    </w:p>
  </w:endnote>
  <w:endnote w:type="continuationSeparator" w:id="0">
    <w:p w14:paraId="5A957A9F" w14:textId="77777777" w:rsidR="009458DA" w:rsidRDefault="00945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E0C9D" w14:textId="77777777" w:rsidR="009458DA" w:rsidRDefault="009458DA">
      <w:pPr>
        <w:spacing w:line="240" w:lineRule="auto"/>
      </w:pPr>
      <w:r>
        <w:separator/>
      </w:r>
    </w:p>
  </w:footnote>
  <w:footnote w:type="continuationSeparator" w:id="0">
    <w:p w14:paraId="1CB10832" w14:textId="77777777" w:rsidR="009458DA" w:rsidRDefault="009458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201" w14:textId="77777777" w:rsidR="00080C97" w:rsidRDefault="00CD0E61">
    <w:pPr>
      <w:pStyle w:val="Header"/>
    </w:pPr>
    <w:sdt>
      <w:sdtPr>
        <w:alias w:val="Last Name:"/>
        <w:tag w:val="Last Name:"/>
        <w:id w:val="1658178901"/>
        <w:placeholder>
          <w:docPart w:val="0DC745A4323B440A85E8F64916C02181"/>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0CFA" w14:textId="77777777" w:rsidR="00080C97" w:rsidRDefault="00CD0E61">
    <w:pPr>
      <w:pStyle w:val="Header"/>
    </w:pPr>
    <w:sdt>
      <w:sdtPr>
        <w:alias w:val="Last Name:"/>
        <w:tag w:val="Last Name:"/>
        <w:id w:val="-348181431"/>
        <w:placeholder>
          <w:docPart w:val="002858EDDD8948E4ADE20485CB064C5C"/>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EB92D3EA">
      <w:start w:val="1"/>
      <w:numFmt w:val="lowerLetter"/>
      <w:pStyle w:val="TableNote"/>
      <w:suff w:val="space"/>
      <w:lvlText w:val="%1."/>
      <w:lvlJc w:val="left"/>
      <w:pPr>
        <w:ind w:left="0" w:firstLine="720"/>
      </w:pPr>
      <w:rPr>
        <w:rFonts w:hint="default"/>
      </w:rPr>
    </w:lvl>
    <w:lvl w:ilvl="1" w:tplc="3B48A932" w:tentative="1">
      <w:start w:val="1"/>
      <w:numFmt w:val="lowerLetter"/>
      <w:lvlText w:val="%2."/>
      <w:lvlJc w:val="left"/>
      <w:pPr>
        <w:ind w:left="2160" w:hanging="360"/>
      </w:pPr>
    </w:lvl>
    <w:lvl w:ilvl="2" w:tplc="86CA8CA8" w:tentative="1">
      <w:start w:val="1"/>
      <w:numFmt w:val="lowerRoman"/>
      <w:lvlText w:val="%3."/>
      <w:lvlJc w:val="right"/>
      <w:pPr>
        <w:ind w:left="2880" w:hanging="180"/>
      </w:pPr>
    </w:lvl>
    <w:lvl w:ilvl="3" w:tplc="84729748" w:tentative="1">
      <w:start w:val="1"/>
      <w:numFmt w:val="decimal"/>
      <w:lvlText w:val="%4."/>
      <w:lvlJc w:val="left"/>
      <w:pPr>
        <w:ind w:left="3600" w:hanging="360"/>
      </w:pPr>
    </w:lvl>
    <w:lvl w:ilvl="4" w:tplc="09E85AC6" w:tentative="1">
      <w:start w:val="1"/>
      <w:numFmt w:val="lowerLetter"/>
      <w:lvlText w:val="%5."/>
      <w:lvlJc w:val="left"/>
      <w:pPr>
        <w:ind w:left="4320" w:hanging="360"/>
      </w:pPr>
    </w:lvl>
    <w:lvl w:ilvl="5" w:tplc="D39801CA" w:tentative="1">
      <w:start w:val="1"/>
      <w:numFmt w:val="lowerRoman"/>
      <w:lvlText w:val="%6."/>
      <w:lvlJc w:val="right"/>
      <w:pPr>
        <w:ind w:left="5040" w:hanging="180"/>
      </w:pPr>
    </w:lvl>
    <w:lvl w:ilvl="6" w:tplc="F070997E" w:tentative="1">
      <w:start w:val="1"/>
      <w:numFmt w:val="decimal"/>
      <w:lvlText w:val="%7."/>
      <w:lvlJc w:val="left"/>
      <w:pPr>
        <w:ind w:left="5760" w:hanging="360"/>
      </w:pPr>
    </w:lvl>
    <w:lvl w:ilvl="7" w:tplc="249E067A" w:tentative="1">
      <w:start w:val="1"/>
      <w:numFmt w:val="lowerLetter"/>
      <w:lvlText w:val="%8."/>
      <w:lvlJc w:val="left"/>
      <w:pPr>
        <w:ind w:left="6480" w:hanging="360"/>
      </w:pPr>
    </w:lvl>
    <w:lvl w:ilvl="8" w:tplc="E1CA895C"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54"/>
    <w:rsid w:val="00080C97"/>
    <w:rsid w:val="00125154"/>
    <w:rsid w:val="001F0CAB"/>
    <w:rsid w:val="0025084E"/>
    <w:rsid w:val="00297E61"/>
    <w:rsid w:val="0034643D"/>
    <w:rsid w:val="003610AA"/>
    <w:rsid w:val="00390042"/>
    <w:rsid w:val="003E748F"/>
    <w:rsid w:val="0044569C"/>
    <w:rsid w:val="004D5E90"/>
    <w:rsid w:val="005627B8"/>
    <w:rsid w:val="005D6BA4"/>
    <w:rsid w:val="006100FD"/>
    <w:rsid w:val="006A64A8"/>
    <w:rsid w:val="006E0F0D"/>
    <w:rsid w:val="007D4B2F"/>
    <w:rsid w:val="009458DA"/>
    <w:rsid w:val="00965112"/>
    <w:rsid w:val="009C1249"/>
    <w:rsid w:val="00AB1E45"/>
    <w:rsid w:val="00B82F8F"/>
    <w:rsid w:val="00BA6766"/>
    <w:rsid w:val="00BD3A4E"/>
    <w:rsid w:val="00C26420"/>
    <w:rsid w:val="00C41C2F"/>
    <w:rsid w:val="00CD0E61"/>
    <w:rsid w:val="00E92F01"/>
    <w:rsid w:val="00EB51FF"/>
    <w:rsid w:val="00EC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5306"/>
  <w15:chartTrackingRefBased/>
  <w15:docId w15:val="{80A60C87-D439-4567-8FE9-262109E0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 w:type="character" w:styleId="Hyperlink">
    <w:name w:val="Hyperlink"/>
    <w:basedOn w:val="DefaultParagraphFont"/>
    <w:uiPriority w:val="99"/>
    <w:unhideWhenUsed/>
    <w:rsid w:val="001F0CAB"/>
    <w:rPr>
      <w:color w:val="5F5F5F" w:themeColor="hyperlink"/>
      <w:u w:val="single"/>
    </w:rPr>
  </w:style>
  <w:style w:type="character" w:customStyle="1" w:styleId="UnresolvedMention1">
    <w:name w:val="Unresolved Mention1"/>
    <w:basedOn w:val="DefaultParagraphFont"/>
    <w:uiPriority w:val="99"/>
    <w:semiHidden/>
    <w:unhideWhenUsed/>
    <w:rsid w:val="001F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glossaryDocument" Target="glossary/document.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hyperlink" Target="https://teachingamericanhistory.org/library/document/a-governor-bitterly-opposes-negro-education/" TargetMode="Externa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MLA%20style%20research%20paper(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2858EDDD8948E4ADE20485CB064C5C"/>
        <w:category>
          <w:name w:val="General"/>
          <w:gallery w:val="placeholder"/>
        </w:category>
        <w:types>
          <w:type w:val="bbPlcHdr"/>
        </w:types>
        <w:behaviors>
          <w:behavior w:val="content"/>
        </w:behaviors>
        <w:guid w:val="{EA4B46FE-3497-45ED-ABDF-67E3FC5267D8}"/>
      </w:docPartPr>
      <w:docPartBody>
        <w:p w:rsidR="004B2A6E" w:rsidRDefault="008D6D7B">
          <w:pPr>
            <w:pStyle w:val="002858EDDD8948E4ADE20485CB064C5C"/>
          </w:pPr>
          <w:r>
            <w:t>Table data</w:t>
          </w:r>
        </w:p>
      </w:docPartBody>
    </w:docPart>
    <w:docPart>
      <w:docPartPr>
        <w:name w:val="0DC745A4323B440A85E8F64916C02181"/>
        <w:category>
          <w:name w:val="General"/>
          <w:gallery w:val="placeholder"/>
        </w:category>
        <w:types>
          <w:type w:val="bbPlcHdr"/>
        </w:types>
        <w:behaviors>
          <w:behavior w:val="content"/>
        </w:behaviors>
        <w:guid w:val="{3A4F4536-5103-4E17-8DE7-7EADBFA5F944}"/>
      </w:docPartPr>
      <w:docPartBody>
        <w:p w:rsidR="004B2A6E" w:rsidRDefault="008D6D7B">
          <w:pPr>
            <w:pStyle w:val="0DC745A4323B440A85E8F64916C02181"/>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F4"/>
    <w:rsid w:val="004B2A6E"/>
    <w:rsid w:val="008D6D7B"/>
    <w:rsid w:val="00A0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3"/>
    <w:qFormat/>
    <w:rPr>
      <w:i/>
      <w:iCs/>
    </w:rPr>
  </w:style>
  <w:style w:type="paragraph" w:customStyle="1" w:styleId="002858EDDD8948E4ADE20485CB064C5C">
    <w:name w:val="002858EDDD8948E4ADE20485CB064C5C"/>
  </w:style>
  <w:style w:type="paragraph" w:customStyle="1" w:styleId="0DC745A4323B440A85E8F64916C02181">
    <w:name w:val="0DC745A4323B440A85E8F64916C0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D81E94-726F-4CE3-8C87-0D0A8F9E63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MLA%20style%20research%20paper(2).dotx</Template>
  <TotalTime>1</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254716226303</cp:lastModifiedBy>
  <cp:revision>2</cp:revision>
  <dcterms:created xsi:type="dcterms:W3CDTF">2021-03-19T16:50:00Z</dcterms:created>
  <dcterms:modified xsi:type="dcterms:W3CDTF">2021-03-19T16:50:00Z</dcterms:modified>
</cp:coreProperties>
</file>